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AFF83" w14:textId="7220D7C1" w:rsidR="000D67CA" w:rsidRDefault="0006624D" w:rsidP="0006624D">
      <w:pPr>
        <w:pStyle w:val="Title"/>
      </w:pPr>
      <w:bookmarkStart w:id="0" w:name="_GoBack"/>
      <w:bookmarkEnd w:id="0"/>
      <w:r w:rsidRPr="0006624D">
        <w:t>Adult</w:t>
      </w:r>
      <w:r w:rsidR="00DD250C">
        <w:t xml:space="preserve"> SSI/SSDI</w:t>
      </w:r>
      <w:r w:rsidRPr="0006624D">
        <w:t xml:space="preserve"> vs. Child SSI Application</w:t>
      </w:r>
      <w:r w:rsidR="001F5B77">
        <w:t>s</w:t>
      </w:r>
    </w:p>
    <w:p w14:paraId="17D505BF" w14:textId="0501CF43" w:rsidR="001F5B77" w:rsidRPr="001F5B77" w:rsidRDefault="001F5B77" w:rsidP="000A1FB1">
      <w:pPr>
        <w:pStyle w:val="Subtitle"/>
        <w:spacing w:after="360"/>
      </w:pPr>
      <w:r>
        <w:t>Key Difference</w:t>
      </w:r>
      <w:r w:rsidR="0024188B">
        <w:t>s</w:t>
      </w:r>
    </w:p>
    <w:tbl>
      <w:tblPr>
        <w:tblW w:w="10944"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72"/>
        <w:gridCol w:w="5472"/>
      </w:tblGrid>
      <w:tr w:rsidR="0006624D" w:rsidRPr="00145C20" w14:paraId="77B201E0" w14:textId="77777777" w:rsidTr="00145C20">
        <w:trPr>
          <w:trHeight w:val="144"/>
          <w:tblHeader/>
        </w:trPr>
        <w:tc>
          <w:tcPr>
            <w:tcW w:w="5472" w:type="dxa"/>
            <w:shd w:val="clear" w:color="auto" w:fill="BDD6EE" w:themeFill="accent1" w:themeFillTint="66"/>
            <w:tcMar>
              <w:top w:w="75" w:type="dxa"/>
              <w:left w:w="75" w:type="dxa"/>
              <w:bottom w:w="75" w:type="dxa"/>
              <w:right w:w="75" w:type="dxa"/>
            </w:tcMar>
            <w:hideMark/>
          </w:tcPr>
          <w:p w14:paraId="0F48F2D3" w14:textId="77777777" w:rsidR="0006624D" w:rsidRPr="00145C20" w:rsidRDefault="0006624D" w:rsidP="00145C20">
            <w:pPr>
              <w:pStyle w:val="NormalWeb"/>
              <w:jc w:val="center"/>
              <w:rPr>
                <w:rFonts w:asciiTheme="majorHAnsi" w:hAnsiTheme="majorHAnsi" w:cs="Arial"/>
                <w:color w:val="000000" w:themeColor="text1"/>
                <w:szCs w:val="18"/>
              </w:rPr>
            </w:pPr>
            <w:r w:rsidRPr="00145C20">
              <w:rPr>
                <w:rStyle w:val="Strong"/>
                <w:rFonts w:asciiTheme="majorHAnsi" w:eastAsia="Calibri" w:hAnsiTheme="majorHAnsi"/>
                <w:color w:val="000000" w:themeColor="text1"/>
                <w:szCs w:val="21"/>
              </w:rPr>
              <w:t>Adult</w:t>
            </w:r>
          </w:p>
        </w:tc>
        <w:tc>
          <w:tcPr>
            <w:tcW w:w="5472" w:type="dxa"/>
            <w:shd w:val="clear" w:color="auto" w:fill="BDD6EE" w:themeFill="accent1" w:themeFillTint="66"/>
            <w:tcMar>
              <w:top w:w="75" w:type="dxa"/>
              <w:left w:w="75" w:type="dxa"/>
              <w:bottom w:w="75" w:type="dxa"/>
              <w:right w:w="75" w:type="dxa"/>
            </w:tcMar>
            <w:hideMark/>
          </w:tcPr>
          <w:p w14:paraId="7C983EE6" w14:textId="77777777" w:rsidR="0006624D" w:rsidRPr="00145C20" w:rsidRDefault="0006624D" w:rsidP="00145C20">
            <w:pPr>
              <w:pStyle w:val="NormalWeb"/>
              <w:jc w:val="center"/>
              <w:rPr>
                <w:rFonts w:asciiTheme="majorHAnsi" w:hAnsiTheme="majorHAnsi" w:cs="Arial"/>
                <w:color w:val="000000" w:themeColor="text1"/>
                <w:szCs w:val="18"/>
              </w:rPr>
            </w:pPr>
            <w:r w:rsidRPr="00145C20">
              <w:rPr>
                <w:rStyle w:val="Strong"/>
                <w:rFonts w:asciiTheme="majorHAnsi" w:eastAsia="Calibri" w:hAnsiTheme="majorHAnsi"/>
                <w:color w:val="000000" w:themeColor="text1"/>
                <w:szCs w:val="21"/>
              </w:rPr>
              <w:t xml:space="preserve"> Child</w:t>
            </w:r>
          </w:p>
        </w:tc>
      </w:tr>
      <w:tr w:rsidR="0006624D" w14:paraId="6389D102" w14:textId="77777777" w:rsidTr="00145C20">
        <w:trPr>
          <w:trHeight w:val="1872"/>
        </w:trPr>
        <w:tc>
          <w:tcPr>
            <w:tcW w:w="5472" w:type="dxa"/>
            <w:tcMar>
              <w:top w:w="75" w:type="dxa"/>
              <w:left w:w="75" w:type="dxa"/>
              <w:bottom w:w="75" w:type="dxa"/>
              <w:right w:w="75" w:type="dxa"/>
            </w:tcMar>
            <w:hideMark/>
          </w:tcPr>
          <w:p w14:paraId="02FEE630" w14:textId="27ECE7BC" w:rsidR="0006624D" w:rsidRPr="00145C20" w:rsidRDefault="0006624D" w:rsidP="000A1FB1">
            <w:pPr>
              <w:pStyle w:val="Heading1"/>
            </w:pPr>
            <w:r w:rsidRPr="00145C20">
              <w:t>Disability Programs</w:t>
            </w:r>
          </w:p>
          <w:p w14:paraId="07D18400" w14:textId="4F4DFFA7" w:rsidR="0006624D" w:rsidRPr="001F5B77" w:rsidRDefault="0006624D" w:rsidP="001F5B77">
            <w:pPr>
              <w:pStyle w:val="ListParagraph"/>
            </w:pPr>
            <w:r w:rsidRPr="001F5B77">
              <w:t>SSA administers two disability benefit programs for adults: Supplemental Security Income (SSI) and Social Security Disability Insurance (SSDI)</w:t>
            </w:r>
            <w:r w:rsidR="0024188B">
              <w:t>.</w:t>
            </w:r>
          </w:p>
          <w:p w14:paraId="0BC1AF33" w14:textId="7E558F58" w:rsidR="0006624D" w:rsidRPr="001F5B77" w:rsidRDefault="0006624D" w:rsidP="001F5B77">
            <w:pPr>
              <w:pStyle w:val="ListParagraph"/>
            </w:pPr>
            <w:r w:rsidRPr="001F5B77">
              <w:t>SSI is based on need and generally includes Medicaid</w:t>
            </w:r>
            <w:r w:rsidR="0024188B">
              <w:t>.</w:t>
            </w:r>
          </w:p>
          <w:p w14:paraId="206AEEAB" w14:textId="33690F77" w:rsidR="0006624D" w:rsidRPr="000B039A" w:rsidRDefault="0006624D" w:rsidP="001F5B77">
            <w:pPr>
              <w:pStyle w:val="ListParagraph"/>
              <w:rPr>
                <w:rFonts w:asciiTheme="majorHAnsi" w:hAnsiTheme="majorHAnsi"/>
              </w:rPr>
            </w:pPr>
            <w:r w:rsidRPr="001F5B77">
              <w:t>SSDI is based on contributions to SSA from past work and generally includes Medicare</w:t>
            </w:r>
            <w:r w:rsidR="0024188B">
              <w:t>.</w:t>
            </w:r>
          </w:p>
        </w:tc>
        <w:tc>
          <w:tcPr>
            <w:tcW w:w="5472" w:type="dxa"/>
            <w:tcMar>
              <w:top w:w="75" w:type="dxa"/>
              <w:left w:w="75" w:type="dxa"/>
              <w:bottom w:w="75" w:type="dxa"/>
              <w:right w:w="75" w:type="dxa"/>
            </w:tcMar>
            <w:hideMark/>
          </w:tcPr>
          <w:p w14:paraId="4152D4B7" w14:textId="269DB215" w:rsidR="0006624D" w:rsidRPr="007F2948" w:rsidRDefault="0006624D" w:rsidP="000A1FB1">
            <w:pPr>
              <w:pStyle w:val="Heading1"/>
            </w:pPr>
            <w:r w:rsidRPr="007F2948">
              <w:t>Disability Programs</w:t>
            </w:r>
          </w:p>
          <w:p w14:paraId="21B74514" w14:textId="76669A2B" w:rsidR="0006624D" w:rsidRPr="001F5B77" w:rsidRDefault="0006624D" w:rsidP="001F5B77">
            <w:pPr>
              <w:pStyle w:val="ListParagraph"/>
            </w:pPr>
            <w:r w:rsidRPr="001F5B77">
              <w:t>Children qualify for Supplemental S</w:t>
            </w:r>
            <w:r w:rsidR="001F5B77">
              <w:t>ecurity Income (SSI) o</w:t>
            </w:r>
            <w:r w:rsidRPr="001F5B77">
              <w:t>nly!</w:t>
            </w:r>
          </w:p>
          <w:p w14:paraId="0EE1C684" w14:textId="21D5DD2E" w:rsidR="0006624D" w:rsidRPr="001F5B77" w:rsidRDefault="0006624D" w:rsidP="001F5B77">
            <w:pPr>
              <w:pStyle w:val="ListParagraph"/>
            </w:pPr>
            <w:r w:rsidRPr="001F5B77">
              <w:t>Children do not qualify for SSDI due</w:t>
            </w:r>
            <w:r w:rsidR="0024188B">
              <w:t xml:space="preserve"> to no or limited work earnings.</w:t>
            </w:r>
          </w:p>
          <w:p w14:paraId="06897CEA" w14:textId="2492E622" w:rsidR="0006624D" w:rsidRPr="000B039A" w:rsidRDefault="0006624D" w:rsidP="001F5B77">
            <w:pPr>
              <w:pStyle w:val="ListParagraph"/>
              <w:rPr>
                <w:rFonts w:asciiTheme="majorHAnsi" w:hAnsiTheme="majorHAnsi"/>
              </w:rPr>
            </w:pPr>
            <w:r w:rsidRPr="001F5B77">
              <w:t>Children are potentially eligible for Medicaid only</w:t>
            </w:r>
            <w:r w:rsidR="0024188B">
              <w:t>.</w:t>
            </w:r>
          </w:p>
        </w:tc>
      </w:tr>
      <w:tr w:rsidR="0006624D" w14:paraId="74BF0044" w14:textId="77777777" w:rsidTr="00145C20">
        <w:trPr>
          <w:trHeight w:val="4613"/>
        </w:trPr>
        <w:tc>
          <w:tcPr>
            <w:tcW w:w="5472" w:type="dxa"/>
            <w:tcMar>
              <w:top w:w="75" w:type="dxa"/>
              <w:left w:w="75" w:type="dxa"/>
              <w:bottom w:w="75" w:type="dxa"/>
              <w:right w:w="75" w:type="dxa"/>
            </w:tcMar>
            <w:hideMark/>
          </w:tcPr>
          <w:p w14:paraId="392415D0" w14:textId="77777777" w:rsidR="0006624D" w:rsidRPr="00DD250C" w:rsidRDefault="0006624D" w:rsidP="000A1FB1">
            <w:pPr>
              <w:pStyle w:val="Heading1"/>
            </w:pPr>
            <w:r w:rsidRPr="00DD250C">
              <w:t xml:space="preserve">Financial Eligibility </w:t>
            </w:r>
          </w:p>
          <w:p w14:paraId="3865AF78" w14:textId="32937793" w:rsidR="0006624D" w:rsidRPr="001F5B77" w:rsidRDefault="0006624D" w:rsidP="001F5B77">
            <w:pPr>
              <w:pStyle w:val="ListParagraph"/>
            </w:pPr>
            <w:r w:rsidRPr="001F5B77">
              <w:t xml:space="preserve">Need is a complete picture of income, living arrangement, and </w:t>
            </w:r>
            <w:r w:rsidRPr="001F5B77">
              <w:rPr>
                <w:i/>
              </w:rPr>
              <w:t>personal</w:t>
            </w:r>
            <w:r w:rsidRPr="001F5B77">
              <w:t xml:space="preserve"> resources</w:t>
            </w:r>
            <w:r w:rsidR="0024188B">
              <w:t>.</w:t>
            </w:r>
          </w:p>
          <w:p w14:paraId="30095F71" w14:textId="5E5F1858" w:rsidR="0006624D" w:rsidRPr="001F5B77" w:rsidRDefault="0006624D" w:rsidP="001F5B77">
            <w:pPr>
              <w:pStyle w:val="ListParagraph"/>
            </w:pPr>
            <w:r w:rsidRPr="001F5B77">
              <w:t>Financial eligibility for adults (≥18 years old) is based only on what the adult owns and/or earns</w:t>
            </w:r>
            <w:r w:rsidR="0024188B">
              <w:t>.</w:t>
            </w:r>
          </w:p>
          <w:p w14:paraId="729F4B83" w14:textId="0135CEED" w:rsidR="0006624D" w:rsidRPr="001F5B77" w:rsidRDefault="0006624D" w:rsidP="001F5B77">
            <w:pPr>
              <w:pStyle w:val="ListParagraph"/>
            </w:pPr>
            <w:r w:rsidRPr="001F5B77">
              <w:t>Income may be subject to “deeming.” For example, an applicant who lives in the same household as a spouse</w:t>
            </w:r>
            <w:r w:rsidR="005A29B5" w:rsidRPr="001F5B77">
              <w:t xml:space="preserve"> who is</w:t>
            </w:r>
            <w:r w:rsidRPr="001F5B77">
              <w:t xml:space="preserve"> not eligible for SSI will have a portion of the spouse’s income deemed available to the applicant</w:t>
            </w:r>
            <w:r w:rsidR="0024188B">
              <w:t>.</w:t>
            </w:r>
          </w:p>
          <w:p w14:paraId="6420DC25" w14:textId="084FFD3E" w:rsidR="0006624D" w:rsidRPr="000B039A" w:rsidRDefault="0006624D" w:rsidP="001F5B77">
            <w:pPr>
              <w:pStyle w:val="ListParagraph"/>
              <w:rPr>
                <w:rFonts w:asciiTheme="majorHAnsi" w:hAnsiTheme="majorHAnsi"/>
              </w:rPr>
            </w:pPr>
            <w:r w:rsidRPr="001F5B77">
              <w:t xml:space="preserve">Resources limited to </w:t>
            </w:r>
            <w:r w:rsidR="005A29B5" w:rsidRPr="001F5B77">
              <w:t>$</w:t>
            </w:r>
            <w:r w:rsidRPr="001F5B77">
              <w:t xml:space="preserve">2,000 for individuals, </w:t>
            </w:r>
            <w:r w:rsidR="005A29B5" w:rsidRPr="001F5B77">
              <w:t>$</w:t>
            </w:r>
            <w:r w:rsidRPr="001F5B77">
              <w:t>3,000 for married couples</w:t>
            </w:r>
            <w:r w:rsidR="0024188B">
              <w:t>.</w:t>
            </w:r>
          </w:p>
        </w:tc>
        <w:tc>
          <w:tcPr>
            <w:tcW w:w="5472" w:type="dxa"/>
            <w:tcMar>
              <w:top w:w="75" w:type="dxa"/>
              <w:left w:w="75" w:type="dxa"/>
              <w:bottom w:w="75" w:type="dxa"/>
              <w:right w:w="75" w:type="dxa"/>
            </w:tcMar>
            <w:hideMark/>
          </w:tcPr>
          <w:p w14:paraId="5BAA6582" w14:textId="77777777" w:rsidR="0006624D" w:rsidRPr="00DD250C" w:rsidRDefault="0006624D" w:rsidP="000A1FB1">
            <w:pPr>
              <w:pStyle w:val="Heading1"/>
            </w:pPr>
            <w:r w:rsidRPr="00DD250C">
              <w:t>Financial Eligibility</w:t>
            </w:r>
          </w:p>
          <w:p w14:paraId="330525E9" w14:textId="7FB2EE44" w:rsidR="0006624D" w:rsidRPr="000B039A" w:rsidRDefault="0006624D" w:rsidP="001F5B77">
            <w:pPr>
              <w:pStyle w:val="ListParagraph"/>
            </w:pPr>
            <w:r w:rsidRPr="000B039A">
              <w:t xml:space="preserve">Need is a complete picture of income, living arrangement, and </w:t>
            </w:r>
            <w:r w:rsidRPr="000B039A">
              <w:rPr>
                <w:i/>
              </w:rPr>
              <w:t xml:space="preserve">family </w:t>
            </w:r>
            <w:r w:rsidRPr="000B039A">
              <w:t>resources</w:t>
            </w:r>
            <w:r w:rsidR="0024188B">
              <w:t>.</w:t>
            </w:r>
          </w:p>
          <w:p w14:paraId="678C34E2" w14:textId="513E4787" w:rsidR="0006624D" w:rsidRPr="000B039A" w:rsidRDefault="0006624D" w:rsidP="001F5B77">
            <w:pPr>
              <w:pStyle w:val="ListParagraph"/>
            </w:pPr>
            <w:r w:rsidRPr="000B039A">
              <w:t>There are limits</w:t>
            </w:r>
            <w:r w:rsidR="0024188B">
              <w:t xml:space="preserve"> on family resources and assets.</w:t>
            </w:r>
          </w:p>
          <w:p w14:paraId="08D5A8C2" w14:textId="5D4AF04A" w:rsidR="0006624D" w:rsidRPr="000B039A" w:rsidRDefault="0006624D" w:rsidP="001F5B77">
            <w:pPr>
              <w:pStyle w:val="ListParagraph"/>
            </w:pPr>
            <w:r w:rsidRPr="000B039A">
              <w:t>Children receive a monthly SSI payment based on the income of the child and other family members in the household</w:t>
            </w:r>
            <w:r w:rsidR="0024188B">
              <w:t>.</w:t>
            </w:r>
          </w:p>
          <w:p w14:paraId="07B7C81D" w14:textId="1EF13674" w:rsidR="0006624D" w:rsidRPr="000B039A" w:rsidRDefault="0006624D" w:rsidP="001F5B77">
            <w:pPr>
              <w:pStyle w:val="ListParagraph"/>
            </w:pPr>
            <w:r w:rsidRPr="000B039A">
              <w:t>When a disabled or blind child under age 18 lives with his/her parent(s) and at least one parent does not receive SSI benefits, SSA may count some of the parents' income in figuring the child's SSI benefit</w:t>
            </w:r>
            <w:r w:rsidR="0024188B">
              <w:t>.</w:t>
            </w:r>
          </w:p>
          <w:p w14:paraId="3084A567" w14:textId="26C2C560" w:rsidR="0006624D" w:rsidRPr="000B039A" w:rsidRDefault="0006624D" w:rsidP="001F5B77">
            <w:pPr>
              <w:pStyle w:val="ListParagraph"/>
            </w:pPr>
            <w:r w:rsidRPr="000B039A">
              <w:t>Deeming does not apply when the child no longer lives with a parent, marries</w:t>
            </w:r>
            <w:r w:rsidR="005A29B5">
              <w:t>,</w:t>
            </w:r>
            <w:r w:rsidRPr="000B039A">
              <w:t xml:space="preserve"> or turns </w:t>
            </w:r>
            <w:r w:rsidR="005A29B5">
              <w:t>18</w:t>
            </w:r>
            <w:r w:rsidR="0024188B">
              <w:t>.</w:t>
            </w:r>
          </w:p>
          <w:p w14:paraId="6BCA21FA" w14:textId="77777777" w:rsidR="0006624D" w:rsidRPr="000B039A" w:rsidRDefault="0006624D" w:rsidP="001F5B77">
            <w:pPr>
              <w:pStyle w:val="ListParagraph"/>
            </w:pPr>
            <w:r w:rsidRPr="000B039A">
              <w:t xml:space="preserve">Resources limited to </w:t>
            </w:r>
            <w:r w:rsidR="00FA393C">
              <w:t>$</w:t>
            </w:r>
            <w:r w:rsidRPr="000B039A">
              <w:t>2,000 for individuals.</w:t>
            </w:r>
          </w:p>
          <w:p w14:paraId="4486718D" w14:textId="191AC76C" w:rsidR="0006624D" w:rsidRPr="000B039A" w:rsidRDefault="0006624D" w:rsidP="000E7E20">
            <w:pPr>
              <w:pStyle w:val="ListParagraph"/>
              <w:numPr>
                <w:ilvl w:val="1"/>
                <w:numId w:val="16"/>
              </w:numPr>
              <w:ind w:left="753" w:hanging="270"/>
            </w:pPr>
            <w:r w:rsidRPr="000B039A">
              <w:t>If a child under age 18 lives with one parent, $2,000 of the parent's total countable resources does not count.  If the child lives with 2 parents, $3,000 does not count. SSA counts amounts over the parents’ limits as part of the child's $2,000 resource limit</w:t>
            </w:r>
            <w:r w:rsidR="0024188B">
              <w:t>.</w:t>
            </w:r>
          </w:p>
        </w:tc>
      </w:tr>
      <w:tr w:rsidR="0006624D" w14:paraId="17E603E7" w14:textId="77777777" w:rsidTr="00145C20">
        <w:trPr>
          <w:trHeight w:val="2705"/>
        </w:trPr>
        <w:tc>
          <w:tcPr>
            <w:tcW w:w="5472" w:type="dxa"/>
            <w:tcMar>
              <w:top w:w="75" w:type="dxa"/>
              <w:left w:w="75" w:type="dxa"/>
              <w:bottom w:w="75" w:type="dxa"/>
              <w:right w:w="75" w:type="dxa"/>
            </w:tcMar>
          </w:tcPr>
          <w:p w14:paraId="5E7A2CEF" w14:textId="77777777" w:rsidR="0006624D" w:rsidRPr="00DD250C" w:rsidRDefault="0006624D" w:rsidP="000A1FB1">
            <w:pPr>
              <w:pStyle w:val="Heading1"/>
            </w:pPr>
            <w:r w:rsidRPr="00DD250C">
              <w:t>Definition of Disability</w:t>
            </w:r>
          </w:p>
          <w:p w14:paraId="101AACF6" w14:textId="77777777" w:rsidR="0006624D" w:rsidRPr="000B039A" w:rsidRDefault="0006624D" w:rsidP="001F5B77">
            <w:pPr>
              <w:pStyle w:val="ListParagraph"/>
              <w:rPr>
                <w:lang w:val="en"/>
              </w:rPr>
            </w:pPr>
            <w:r w:rsidRPr="000B039A">
              <w:rPr>
                <w:lang w:val="en"/>
              </w:rPr>
              <w:t>The inability to engage in substantial gainful activity (SGA)</w:t>
            </w:r>
          </w:p>
          <w:p w14:paraId="6A6A0E90" w14:textId="77777777" w:rsidR="0006624D" w:rsidRPr="000B039A" w:rsidRDefault="0006624D" w:rsidP="001F5B77">
            <w:pPr>
              <w:pStyle w:val="ListParagraph"/>
              <w:rPr>
                <w:lang w:val="en"/>
              </w:rPr>
            </w:pPr>
            <w:r w:rsidRPr="000B039A">
              <w:rPr>
                <w:lang w:val="en"/>
              </w:rPr>
              <w:t>Because of medically determinable physical or mental impairment(s)</w:t>
            </w:r>
          </w:p>
          <w:p w14:paraId="01BDA92C" w14:textId="5134E724" w:rsidR="0006624D" w:rsidRPr="000B039A" w:rsidRDefault="0006624D" w:rsidP="001F5B77">
            <w:pPr>
              <w:pStyle w:val="ListParagraph"/>
              <w:rPr>
                <w:lang w:val="en"/>
              </w:rPr>
            </w:pPr>
            <w:r w:rsidRPr="000B039A">
              <w:rPr>
                <w:lang w:val="en"/>
              </w:rPr>
              <w:t xml:space="preserve">That has lasted or is expected to last for a continuous period of at least 12 months OR </w:t>
            </w:r>
            <w:r w:rsidR="0024188B">
              <w:rPr>
                <w:lang w:val="en"/>
              </w:rPr>
              <w:t xml:space="preserve">is expected to </w:t>
            </w:r>
            <w:r w:rsidRPr="000B039A">
              <w:rPr>
                <w:lang w:val="en"/>
              </w:rPr>
              <w:t>result in death</w:t>
            </w:r>
          </w:p>
          <w:p w14:paraId="640F9DF3" w14:textId="77777777" w:rsidR="0006624D" w:rsidRPr="000B039A" w:rsidRDefault="0006624D" w:rsidP="001F5B77">
            <w:pPr>
              <w:pStyle w:val="ListParagraph"/>
              <w:rPr>
                <w:lang w:val="en"/>
              </w:rPr>
            </w:pPr>
            <w:r w:rsidRPr="000B039A">
              <w:t>For adults, the definition of disability includes an evaluation of the applicant’s ability to work at a substantial gainful level</w:t>
            </w:r>
          </w:p>
        </w:tc>
        <w:tc>
          <w:tcPr>
            <w:tcW w:w="5472" w:type="dxa"/>
            <w:tcMar>
              <w:top w:w="75" w:type="dxa"/>
              <w:left w:w="75" w:type="dxa"/>
              <w:bottom w:w="75" w:type="dxa"/>
              <w:right w:w="75" w:type="dxa"/>
            </w:tcMar>
          </w:tcPr>
          <w:p w14:paraId="462B707C" w14:textId="77777777" w:rsidR="0006624D" w:rsidRPr="00DD250C" w:rsidRDefault="0006624D" w:rsidP="000A1FB1">
            <w:pPr>
              <w:pStyle w:val="Heading1"/>
            </w:pPr>
            <w:r w:rsidRPr="00DD250C">
              <w:t>Definition of Disability</w:t>
            </w:r>
          </w:p>
          <w:p w14:paraId="0B872389" w14:textId="77777777" w:rsidR="0006624D" w:rsidRPr="000B039A" w:rsidRDefault="0006624D" w:rsidP="001F5B77">
            <w:pPr>
              <w:pStyle w:val="ListParagraph"/>
            </w:pPr>
            <w:r w:rsidRPr="000B039A">
              <w:t xml:space="preserve">A </w:t>
            </w:r>
            <w:r w:rsidRPr="000B039A">
              <w:rPr>
                <w:i/>
              </w:rPr>
              <w:t>medically determinable </w:t>
            </w:r>
            <w:r w:rsidRPr="000B039A">
              <w:t>physical or mental </w:t>
            </w:r>
            <w:r w:rsidRPr="000B039A">
              <w:rPr>
                <w:i/>
              </w:rPr>
              <w:t>impairment(s</w:t>
            </w:r>
            <w:r w:rsidRPr="000B039A">
              <w:t>) (including an emotional or learning problem)</w:t>
            </w:r>
          </w:p>
          <w:p w14:paraId="5A6AF41E" w14:textId="77777777" w:rsidR="0006624D" w:rsidRPr="000B039A" w:rsidRDefault="0006624D" w:rsidP="001F5B77">
            <w:pPr>
              <w:pStyle w:val="ListParagraph"/>
            </w:pPr>
            <w:r w:rsidRPr="000B039A">
              <w:t>Which markedly and severely limits his or her functioning</w:t>
            </w:r>
          </w:p>
          <w:p w14:paraId="54240953" w14:textId="37FF889E" w:rsidR="0006624D" w:rsidRPr="000B039A" w:rsidRDefault="0006624D" w:rsidP="001F5B77">
            <w:pPr>
              <w:pStyle w:val="ListParagraph"/>
            </w:pPr>
            <w:r w:rsidRPr="000B039A">
              <w:t xml:space="preserve">That has lasted or is expected to last for a continuous period of at least 12 months OR </w:t>
            </w:r>
            <w:r w:rsidR="0024188B">
              <w:t xml:space="preserve">is expected to </w:t>
            </w:r>
            <w:r w:rsidRPr="000B039A">
              <w:t>result in death</w:t>
            </w:r>
          </w:p>
          <w:p w14:paraId="05869A9C" w14:textId="6128F947" w:rsidR="0006624D" w:rsidRPr="000B039A" w:rsidRDefault="0006624D" w:rsidP="001F5B77">
            <w:pPr>
              <w:pStyle w:val="ListParagraph"/>
            </w:pPr>
            <w:r w:rsidRPr="000B039A">
              <w:t xml:space="preserve">SSA’s definition of disability differs from a solely medical definition in that it encompasses the child’s ability to function as compared with the functional abilities of a child of the same age who does not have </w:t>
            </w:r>
            <w:r w:rsidR="00466835">
              <w:t>impairments</w:t>
            </w:r>
            <w:r w:rsidR="0024188B">
              <w:t>.</w:t>
            </w:r>
          </w:p>
        </w:tc>
      </w:tr>
      <w:tr w:rsidR="0006624D" w14:paraId="4013D7A2" w14:textId="77777777" w:rsidTr="00145C20">
        <w:trPr>
          <w:trHeight w:val="1872"/>
        </w:trPr>
        <w:tc>
          <w:tcPr>
            <w:tcW w:w="5472" w:type="dxa"/>
            <w:tcMar>
              <w:top w:w="75" w:type="dxa"/>
              <w:left w:w="75" w:type="dxa"/>
              <w:bottom w:w="75" w:type="dxa"/>
              <w:right w:w="75" w:type="dxa"/>
            </w:tcMar>
            <w:hideMark/>
          </w:tcPr>
          <w:p w14:paraId="6E30755B" w14:textId="77777777" w:rsidR="0006624D" w:rsidRPr="00DD250C" w:rsidRDefault="0006624D" w:rsidP="000A1FB1">
            <w:pPr>
              <w:pStyle w:val="Heading1"/>
            </w:pPr>
            <w:r w:rsidRPr="00DD250C">
              <w:t>Sequential Evaluation: 5 step process</w:t>
            </w:r>
          </w:p>
          <w:p w14:paraId="541305FD" w14:textId="77777777" w:rsidR="0006624D" w:rsidRPr="001F5B77" w:rsidRDefault="0006624D" w:rsidP="001F5B77">
            <w:pPr>
              <w:pStyle w:val="ListParagraph"/>
            </w:pPr>
            <w:r w:rsidRPr="001F5B77">
              <w:t>Step 1 – Is the applicant working at a substantial gainful level?</w:t>
            </w:r>
          </w:p>
          <w:p w14:paraId="78D9A455" w14:textId="77777777" w:rsidR="0006624D" w:rsidRPr="001F5B77" w:rsidRDefault="0006624D" w:rsidP="001F5B77">
            <w:pPr>
              <w:pStyle w:val="ListParagraph"/>
            </w:pPr>
            <w:r w:rsidRPr="001F5B77">
              <w:t>Step 2 – Does the applicant have a severe impairment?</w:t>
            </w:r>
          </w:p>
          <w:p w14:paraId="50824085" w14:textId="56A918C9" w:rsidR="0006624D" w:rsidRPr="001F5B77" w:rsidRDefault="0006624D" w:rsidP="001F5B77">
            <w:pPr>
              <w:pStyle w:val="ListParagraph"/>
            </w:pPr>
            <w:r w:rsidRPr="001F5B77">
              <w:t>Step 3</w:t>
            </w:r>
            <w:r w:rsidR="0091540B" w:rsidRPr="001F5B77">
              <w:t xml:space="preserve"> – </w:t>
            </w:r>
            <w:r w:rsidRPr="001F5B77">
              <w:t>Does the impairment meet or equal the listings?</w:t>
            </w:r>
          </w:p>
          <w:p w14:paraId="2FF22108" w14:textId="77777777" w:rsidR="0006624D" w:rsidRPr="001F5B77" w:rsidRDefault="0006624D" w:rsidP="001F5B77">
            <w:pPr>
              <w:pStyle w:val="ListParagraph"/>
            </w:pPr>
            <w:r w:rsidRPr="001F5B77">
              <w:t>Step 4 – Does the impairment allow for past relevant work?</w:t>
            </w:r>
          </w:p>
          <w:p w14:paraId="76EA0D44" w14:textId="77777777" w:rsidR="0006624D" w:rsidRPr="000B039A" w:rsidRDefault="0006624D" w:rsidP="001F5B77">
            <w:pPr>
              <w:pStyle w:val="ListParagraph"/>
              <w:rPr>
                <w:b/>
              </w:rPr>
            </w:pPr>
            <w:r w:rsidRPr="001F5B77">
              <w:t>Step 5 – Can the applicant do any other work?</w:t>
            </w:r>
          </w:p>
        </w:tc>
        <w:tc>
          <w:tcPr>
            <w:tcW w:w="5472" w:type="dxa"/>
            <w:tcMar>
              <w:top w:w="75" w:type="dxa"/>
              <w:left w:w="75" w:type="dxa"/>
              <w:bottom w:w="75" w:type="dxa"/>
              <w:right w:w="75" w:type="dxa"/>
            </w:tcMar>
            <w:hideMark/>
          </w:tcPr>
          <w:p w14:paraId="0C0BCFFC" w14:textId="77777777" w:rsidR="0006624D" w:rsidRPr="00DD250C" w:rsidRDefault="0006624D" w:rsidP="000A1FB1">
            <w:pPr>
              <w:pStyle w:val="Heading1"/>
            </w:pPr>
            <w:r w:rsidRPr="00DD250C">
              <w:t>Sequential Evaluation: 3 step process</w:t>
            </w:r>
          </w:p>
          <w:p w14:paraId="3C36A7C6" w14:textId="442DA234" w:rsidR="0006624D" w:rsidRPr="001F5B77" w:rsidRDefault="0006624D" w:rsidP="001F5B77">
            <w:pPr>
              <w:pStyle w:val="ListParagraph"/>
            </w:pPr>
            <w:r w:rsidRPr="001F5B77">
              <w:t xml:space="preserve">Step 1 – Is the child working at a substantial gainful </w:t>
            </w:r>
            <w:r w:rsidR="0091540B" w:rsidRPr="001F5B77">
              <w:t>l</w:t>
            </w:r>
            <w:r w:rsidRPr="001F5B77">
              <w:t>evel?</w:t>
            </w:r>
          </w:p>
          <w:p w14:paraId="17CF3DBC" w14:textId="77777777" w:rsidR="0006624D" w:rsidRPr="001F5B77" w:rsidRDefault="0006624D" w:rsidP="001F5B77">
            <w:pPr>
              <w:pStyle w:val="ListParagraph"/>
            </w:pPr>
            <w:r w:rsidRPr="001F5B77">
              <w:t>Step 2 – Does the child have a severe impairment?</w:t>
            </w:r>
          </w:p>
          <w:p w14:paraId="048010DE" w14:textId="77777777" w:rsidR="0006624D" w:rsidRPr="000B039A" w:rsidRDefault="0006624D" w:rsidP="001F5B77">
            <w:pPr>
              <w:pStyle w:val="ListParagraph"/>
            </w:pPr>
            <w:r w:rsidRPr="001F5B77">
              <w:t>Step 3 – Does the impairment meet, medically equal, or functionally equal the listings?</w:t>
            </w:r>
          </w:p>
        </w:tc>
      </w:tr>
      <w:tr w:rsidR="0006624D" w14:paraId="5B1BC31F" w14:textId="77777777" w:rsidTr="00804A0C">
        <w:trPr>
          <w:trHeight w:val="3110"/>
        </w:trPr>
        <w:tc>
          <w:tcPr>
            <w:tcW w:w="5472" w:type="dxa"/>
            <w:tcMar>
              <w:top w:w="75" w:type="dxa"/>
              <w:left w:w="75" w:type="dxa"/>
              <w:bottom w:w="75" w:type="dxa"/>
              <w:right w:w="75" w:type="dxa"/>
            </w:tcMar>
          </w:tcPr>
          <w:p w14:paraId="54444A87" w14:textId="77777777" w:rsidR="0006624D" w:rsidRPr="00DD250C" w:rsidRDefault="0006624D" w:rsidP="000A1FB1">
            <w:pPr>
              <w:pStyle w:val="Heading1"/>
            </w:pPr>
            <w:r w:rsidRPr="00DD250C">
              <w:lastRenderedPageBreak/>
              <w:t>No Functional Equivalence Standard</w:t>
            </w:r>
          </w:p>
          <w:p w14:paraId="5AEBED5D" w14:textId="7BEFF780" w:rsidR="0006624D" w:rsidRPr="001F5B77" w:rsidRDefault="0006624D" w:rsidP="001F5B77">
            <w:pPr>
              <w:pStyle w:val="ListParagraph"/>
            </w:pPr>
            <w:r w:rsidRPr="001F5B77">
              <w:t>DDS looks at work the applicant has done in the past (generally the last 15 years). They also assess the applicant’s residual functional capacity (RFC) based on their current functional abilities</w:t>
            </w:r>
            <w:r w:rsidR="0024188B">
              <w:t>.</w:t>
            </w:r>
          </w:p>
          <w:p w14:paraId="27FDFE33" w14:textId="77777777" w:rsidR="0006624D" w:rsidRPr="000B039A" w:rsidRDefault="0006624D" w:rsidP="001F5B77">
            <w:pPr>
              <w:pStyle w:val="ListParagraph"/>
            </w:pPr>
            <w:r w:rsidRPr="001F5B77">
              <w:t>DDS must assess whether a person can adjust to any other work despite their impairments.</w:t>
            </w:r>
          </w:p>
        </w:tc>
        <w:tc>
          <w:tcPr>
            <w:tcW w:w="5472" w:type="dxa"/>
            <w:tcMar>
              <w:top w:w="75" w:type="dxa"/>
              <w:left w:w="75" w:type="dxa"/>
              <w:bottom w:w="75" w:type="dxa"/>
              <w:right w:w="75" w:type="dxa"/>
            </w:tcMar>
          </w:tcPr>
          <w:p w14:paraId="560DB634" w14:textId="77777777" w:rsidR="0006624D" w:rsidRPr="00DD250C" w:rsidRDefault="0006624D" w:rsidP="000A1FB1">
            <w:pPr>
              <w:pStyle w:val="Heading1"/>
            </w:pPr>
            <w:r w:rsidRPr="00DD250C">
              <w:t>Functional Equivalence Standard</w:t>
            </w:r>
          </w:p>
          <w:p w14:paraId="6713D443" w14:textId="12E9BF30" w:rsidR="0006624D" w:rsidRPr="001F5B77" w:rsidRDefault="0006624D" w:rsidP="001F5B77">
            <w:pPr>
              <w:pStyle w:val="ListParagraph"/>
            </w:pPr>
            <w:r w:rsidRPr="001F5B77">
              <w:t xml:space="preserve">Children </w:t>
            </w:r>
            <w:r w:rsidR="000E7E20">
              <w:t>might</w:t>
            </w:r>
            <w:r w:rsidRPr="001F5B77">
              <w:t xml:space="preserve"> also be found to functionally equal the severity level of a </w:t>
            </w:r>
            <w:r w:rsidR="0091540B" w:rsidRPr="001F5B77">
              <w:t>l</w:t>
            </w:r>
            <w:r w:rsidRPr="001F5B77">
              <w:t>isting based on a condition or combination of conditions. SSA evaluates six domains of functioning to determine if the child functionally equals the severity level of a listing:</w:t>
            </w:r>
          </w:p>
          <w:p w14:paraId="7EC2F357" w14:textId="77777777" w:rsidR="0006624D" w:rsidRPr="001F5B77" w:rsidRDefault="0006624D" w:rsidP="000E7E20">
            <w:pPr>
              <w:ind w:left="753"/>
              <w:rPr>
                <w:rFonts w:cs="Arial"/>
                <w:color w:val="000000" w:themeColor="text1"/>
                <w:sz w:val="20"/>
                <w:szCs w:val="20"/>
              </w:rPr>
            </w:pPr>
            <w:r w:rsidRPr="001F5B77">
              <w:rPr>
                <w:rFonts w:cs="Arial"/>
                <w:color w:val="000000" w:themeColor="text1"/>
                <w:sz w:val="20"/>
                <w:szCs w:val="20"/>
              </w:rPr>
              <w:t>1. Acquiring and using information</w:t>
            </w:r>
          </w:p>
          <w:p w14:paraId="17FE4B1E" w14:textId="16665504" w:rsidR="0006624D" w:rsidRPr="001F5B77" w:rsidRDefault="0006624D" w:rsidP="000E7E20">
            <w:pPr>
              <w:ind w:left="753"/>
              <w:rPr>
                <w:rFonts w:cs="Arial"/>
                <w:color w:val="000000" w:themeColor="text1"/>
                <w:sz w:val="20"/>
                <w:szCs w:val="20"/>
              </w:rPr>
            </w:pPr>
            <w:r w:rsidRPr="001F5B77">
              <w:rPr>
                <w:rFonts w:cs="Arial"/>
                <w:color w:val="000000" w:themeColor="text1"/>
                <w:sz w:val="20"/>
                <w:szCs w:val="20"/>
              </w:rPr>
              <w:t xml:space="preserve">2. Attending and completing tasks </w:t>
            </w:r>
          </w:p>
          <w:p w14:paraId="119470C7" w14:textId="77777777" w:rsidR="0006624D" w:rsidRPr="001F5B77" w:rsidRDefault="0006624D" w:rsidP="000E7E20">
            <w:pPr>
              <w:ind w:left="753"/>
              <w:rPr>
                <w:rFonts w:cs="Arial"/>
                <w:color w:val="000000" w:themeColor="text1"/>
                <w:sz w:val="20"/>
                <w:szCs w:val="20"/>
              </w:rPr>
            </w:pPr>
            <w:r w:rsidRPr="001F5B77">
              <w:rPr>
                <w:rFonts w:cs="Arial"/>
                <w:color w:val="000000" w:themeColor="text1"/>
                <w:sz w:val="20"/>
                <w:szCs w:val="20"/>
              </w:rPr>
              <w:t>3. Interacting and relating with others</w:t>
            </w:r>
          </w:p>
          <w:p w14:paraId="06B74296" w14:textId="77777777" w:rsidR="0006624D" w:rsidRPr="001F5B77" w:rsidRDefault="0006624D" w:rsidP="000E7E20">
            <w:pPr>
              <w:ind w:left="753"/>
              <w:rPr>
                <w:rFonts w:cs="Arial"/>
                <w:color w:val="000000" w:themeColor="text1"/>
                <w:sz w:val="20"/>
                <w:szCs w:val="20"/>
              </w:rPr>
            </w:pPr>
            <w:r w:rsidRPr="001F5B77">
              <w:rPr>
                <w:rFonts w:cs="Arial"/>
                <w:color w:val="000000" w:themeColor="text1"/>
                <w:sz w:val="20"/>
                <w:szCs w:val="20"/>
              </w:rPr>
              <w:t xml:space="preserve">4. Moving about and manipulating objects </w:t>
            </w:r>
          </w:p>
          <w:p w14:paraId="3F822220" w14:textId="6ED83E7C" w:rsidR="0006624D" w:rsidRPr="001F5B77" w:rsidRDefault="0006624D" w:rsidP="000E7E20">
            <w:pPr>
              <w:ind w:left="753"/>
              <w:rPr>
                <w:rFonts w:cs="Arial"/>
                <w:color w:val="000000" w:themeColor="text1"/>
                <w:sz w:val="20"/>
                <w:szCs w:val="20"/>
              </w:rPr>
            </w:pPr>
            <w:r w:rsidRPr="001F5B77">
              <w:rPr>
                <w:rFonts w:cs="Arial"/>
                <w:color w:val="000000" w:themeColor="text1"/>
                <w:sz w:val="20"/>
                <w:szCs w:val="20"/>
              </w:rPr>
              <w:t xml:space="preserve">5. Caring for </w:t>
            </w:r>
            <w:r w:rsidR="0091540B" w:rsidRPr="001F5B77">
              <w:rPr>
                <w:rFonts w:cs="Arial"/>
                <w:color w:val="000000" w:themeColor="text1"/>
                <w:sz w:val="20"/>
                <w:szCs w:val="20"/>
              </w:rPr>
              <w:t>yourself</w:t>
            </w:r>
          </w:p>
          <w:p w14:paraId="7E63F0D9" w14:textId="78E2188C" w:rsidR="0006624D" w:rsidRPr="000B039A" w:rsidRDefault="0006624D" w:rsidP="000E7E20">
            <w:pPr>
              <w:ind w:left="753"/>
              <w:rPr>
                <w:rFonts w:asciiTheme="majorHAnsi" w:hAnsiTheme="majorHAnsi" w:cs="Arial"/>
                <w:b/>
                <w:color w:val="000000" w:themeColor="text1"/>
                <w:sz w:val="20"/>
                <w:szCs w:val="20"/>
              </w:rPr>
            </w:pPr>
            <w:r w:rsidRPr="001F5B77">
              <w:rPr>
                <w:rFonts w:cs="Arial"/>
                <w:color w:val="000000" w:themeColor="text1"/>
                <w:sz w:val="20"/>
                <w:szCs w:val="20"/>
              </w:rPr>
              <w:t xml:space="preserve">6. </w:t>
            </w:r>
            <w:r w:rsidR="0091540B" w:rsidRPr="001F5B77">
              <w:rPr>
                <w:rFonts w:cs="Arial"/>
                <w:color w:val="000000" w:themeColor="text1"/>
                <w:sz w:val="20"/>
                <w:szCs w:val="20"/>
              </w:rPr>
              <w:t>H</w:t>
            </w:r>
            <w:r w:rsidRPr="001F5B77">
              <w:rPr>
                <w:rFonts w:cs="Arial"/>
                <w:color w:val="000000" w:themeColor="text1"/>
                <w:sz w:val="20"/>
                <w:szCs w:val="20"/>
              </w:rPr>
              <w:t>ealth and physical well-being</w:t>
            </w:r>
          </w:p>
        </w:tc>
      </w:tr>
      <w:tr w:rsidR="0006624D" w14:paraId="7DE6BF22" w14:textId="77777777" w:rsidTr="00804A0C">
        <w:trPr>
          <w:trHeight w:val="3263"/>
        </w:trPr>
        <w:tc>
          <w:tcPr>
            <w:tcW w:w="5472" w:type="dxa"/>
            <w:tcMar>
              <w:top w:w="75" w:type="dxa"/>
              <w:left w:w="75" w:type="dxa"/>
              <w:bottom w:w="75" w:type="dxa"/>
              <w:right w:w="75" w:type="dxa"/>
            </w:tcMar>
          </w:tcPr>
          <w:p w14:paraId="531953B4" w14:textId="77777777" w:rsidR="0006624D" w:rsidRPr="00DD250C" w:rsidRDefault="0006624D" w:rsidP="000A1FB1">
            <w:pPr>
              <w:pStyle w:val="Heading1"/>
            </w:pPr>
            <w:r w:rsidRPr="00DD250C">
              <w:t>Forms</w:t>
            </w:r>
          </w:p>
          <w:p w14:paraId="0DACF942" w14:textId="77777777" w:rsidR="0006624D" w:rsidRPr="001F5B77" w:rsidRDefault="0006624D" w:rsidP="001F5B77">
            <w:pPr>
              <w:pStyle w:val="ListParagraph"/>
            </w:pPr>
            <w:r w:rsidRPr="001F5B77">
              <w:t>SSA-3288: Consent for Release of Information</w:t>
            </w:r>
          </w:p>
          <w:p w14:paraId="3FE31CC9" w14:textId="77777777" w:rsidR="0006624D" w:rsidRPr="001F5B77" w:rsidRDefault="0006624D" w:rsidP="001F5B77">
            <w:pPr>
              <w:pStyle w:val="ListParagraph"/>
            </w:pPr>
            <w:r w:rsidRPr="001F5B77">
              <w:t xml:space="preserve">SSA-8000: Application for Supplemental Security Income (SSI) </w:t>
            </w:r>
          </w:p>
          <w:p w14:paraId="06D433A0" w14:textId="77777777" w:rsidR="0006624D" w:rsidRPr="001F5B77" w:rsidRDefault="0006624D" w:rsidP="001F5B77">
            <w:pPr>
              <w:pStyle w:val="ListParagraph"/>
            </w:pPr>
            <w:r w:rsidRPr="001F5B77">
              <w:t xml:space="preserve">SSA-827: Authorization to Disclose Information to SSA </w:t>
            </w:r>
          </w:p>
          <w:p w14:paraId="15CD241F" w14:textId="77777777" w:rsidR="0006624D" w:rsidRPr="001F5B77" w:rsidRDefault="0006624D" w:rsidP="001F5B77">
            <w:pPr>
              <w:pStyle w:val="ListParagraph"/>
            </w:pPr>
            <w:r w:rsidRPr="001F5B77">
              <w:t>SSA-1696: Appointment of Representative</w:t>
            </w:r>
          </w:p>
          <w:p w14:paraId="79EF6611" w14:textId="77777777" w:rsidR="0006624D" w:rsidRPr="001F5B77" w:rsidRDefault="0006624D" w:rsidP="001F5B77">
            <w:pPr>
              <w:pStyle w:val="ListParagraph"/>
            </w:pPr>
            <w:r w:rsidRPr="001F5B77">
              <w:t>SSA-3368: Adult Disability Report (submitted online)</w:t>
            </w:r>
          </w:p>
          <w:p w14:paraId="702B8BD7" w14:textId="14D4BCA8" w:rsidR="0006624D" w:rsidRPr="001F5B77" w:rsidRDefault="0006624D" w:rsidP="000A1FB1">
            <w:pPr>
              <w:pStyle w:val="ListParagraph"/>
              <w:spacing w:after="60"/>
            </w:pPr>
            <w:r w:rsidRPr="001F5B77">
              <w:t>SSA</w:t>
            </w:r>
            <w:r w:rsidR="00347BC8" w:rsidRPr="001F5B77">
              <w:t>-</w:t>
            </w:r>
            <w:r w:rsidRPr="001F5B77">
              <w:t>16: Application for SSDI (submitted online)</w:t>
            </w:r>
          </w:p>
          <w:p w14:paraId="51A0A613" w14:textId="77777777" w:rsidR="0006624D" w:rsidRPr="000B039A" w:rsidRDefault="0006624D" w:rsidP="000E7E20">
            <w:pPr>
              <w:spacing w:before="120"/>
              <w:contextualSpacing/>
              <w:rPr>
                <w:rFonts w:asciiTheme="majorHAnsi" w:hAnsiTheme="majorHAnsi" w:cs="Arial"/>
                <w:color w:val="000000" w:themeColor="text1"/>
                <w:sz w:val="20"/>
                <w:szCs w:val="20"/>
              </w:rPr>
            </w:pPr>
            <w:r w:rsidRPr="000B039A">
              <w:rPr>
                <w:rFonts w:asciiTheme="majorHAnsi" w:hAnsiTheme="majorHAnsi" w:cs="Arial"/>
                <w:color w:val="000000" w:themeColor="text1"/>
                <w:sz w:val="20"/>
                <w:szCs w:val="20"/>
              </w:rPr>
              <w:t>If applicable:</w:t>
            </w:r>
          </w:p>
          <w:p w14:paraId="1B100132" w14:textId="77777777" w:rsidR="0006624D" w:rsidRPr="001F5B77" w:rsidRDefault="0006624D" w:rsidP="001F5B77">
            <w:pPr>
              <w:pStyle w:val="ListParagraph"/>
            </w:pPr>
            <w:r w:rsidRPr="001F5B77">
              <w:t>SSA-3373: Adult Function Report</w:t>
            </w:r>
          </w:p>
          <w:p w14:paraId="7D8A3B9F" w14:textId="3B1E515A" w:rsidR="007B5068" w:rsidRPr="001F5B77" w:rsidRDefault="007B5068" w:rsidP="001F5B77">
            <w:pPr>
              <w:pStyle w:val="ListParagraph"/>
            </w:pPr>
            <w:r w:rsidRPr="001F5B77">
              <w:t>SSA-3369: Work History Report</w:t>
            </w:r>
          </w:p>
          <w:p w14:paraId="500A89EB" w14:textId="77777777" w:rsidR="0006624D" w:rsidRPr="000B039A" w:rsidRDefault="0006624D" w:rsidP="001F5B77">
            <w:pPr>
              <w:pStyle w:val="ListParagraph"/>
            </w:pPr>
            <w:r w:rsidRPr="001F5B77">
              <w:t>SSA-4814 : Medical Report on Adult with Allegation of HIV Infection</w:t>
            </w:r>
          </w:p>
        </w:tc>
        <w:tc>
          <w:tcPr>
            <w:tcW w:w="5472" w:type="dxa"/>
            <w:tcMar>
              <w:top w:w="75" w:type="dxa"/>
              <w:left w:w="75" w:type="dxa"/>
              <w:bottom w:w="75" w:type="dxa"/>
              <w:right w:w="75" w:type="dxa"/>
            </w:tcMar>
          </w:tcPr>
          <w:p w14:paraId="3F59E366" w14:textId="77777777" w:rsidR="0006624D" w:rsidRPr="00DD250C" w:rsidRDefault="0006624D" w:rsidP="000A1FB1">
            <w:pPr>
              <w:pStyle w:val="Heading1"/>
            </w:pPr>
            <w:r w:rsidRPr="00DD250C">
              <w:t>Forms</w:t>
            </w:r>
          </w:p>
          <w:p w14:paraId="76759086" w14:textId="77777777" w:rsidR="0006624D" w:rsidRPr="001F5B77" w:rsidRDefault="0006624D" w:rsidP="001F5B77">
            <w:pPr>
              <w:pStyle w:val="ListParagraph"/>
            </w:pPr>
            <w:r w:rsidRPr="001F5B77">
              <w:t>SSA-3288 Consent for Release of Information</w:t>
            </w:r>
          </w:p>
          <w:p w14:paraId="17366808" w14:textId="77777777" w:rsidR="0006624D" w:rsidRPr="001F5B77" w:rsidRDefault="0006624D" w:rsidP="001F5B77">
            <w:pPr>
              <w:pStyle w:val="ListParagraph"/>
            </w:pPr>
            <w:r w:rsidRPr="001F5B77">
              <w:t xml:space="preserve">SSA-8000: Application for Supplemental Security Income (SSI) </w:t>
            </w:r>
          </w:p>
          <w:p w14:paraId="1D41BE6B" w14:textId="77777777" w:rsidR="0006624D" w:rsidRPr="001F5B77" w:rsidRDefault="0006624D" w:rsidP="001F5B77">
            <w:pPr>
              <w:pStyle w:val="ListParagraph"/>
            </w:pPr>
            <w:r w:rsidRPr="001F5B77">
              <w:t>SSA-827: Authorization to Disclose Information to SSA</w:t>
            </w:r>
          </w:p>
          <w:p w14:paraId="7E32DB98" w14:textId="77777777" w:rsidR="0006624D" w:rsidRPr="001F5B77" w:rsidRDefault="0006624D" w:rsidP="001F5B77">
            <w:pPr>
              <w:pStyle w:val="ListParagraph"/>
            </w:pPr>
            <w:r w:rsidRPr="001F5B77">
              <w:t xml:space="preserve">SSA-1696: Appointment of Representative </w:t>
            </w:r>
          </w:p>
          <w:p w14:paraId="001F566D" w14:textId="547CE7FB" w:rsidR="0006624D" w:rsidRPr="001F5B77" w:rsidRDefault="0006624D" w:rsidP="000A1FB1">
            <w:pPr>
              <w:pStyle w:val="ListParagraph"/>
              <w:spacing w:after="60"/>
            </w:pPr>
            <w:r w:rsidRPr="001F5B77">
              <w:t>SSA-3820</w:t>
            </w:r>
            <w:r w:rsidR="00347BC8" w:rsidRPr="001F5B77">
              <w:t>:</w:t>
            </w:r>
            <w:r w:rsidRPr="001F5B77">
              <w:t xml:space="preserve"> Child Disability Report (submitted online)</w:t>
            </w:r>
          </w:p>
          <w:p w14:paraId="27D4038B" w14:textId="77777777" w:rsidR="0006624D" w:rsidRPr="000B039A" w:rsidRDefault="0006624D" w:rsidP="000E7E20">
            <w:pPr>
              <w:spacing w:before="120"/>
              <w:rPr>
                <w:rFonts w:asciiTheme="majorHAnsi" w:hAnsiTheme="majorHAnsi" w:cs="Arial"/>
                <w:color w:val="000000" w:themeColor="text1"/>
                <w:sz w:val="20"/>
                <w:szCs w:val="20"/>
              </w:rPr>
            </w:pPr>
            <w:r w:rsidRPr="000B039A">
              <w:rPr>
                <w:rFonts w:asciiTheme="majorHAnsi" w:hAnsiTheme="majorHAnsi" w:cs="Arial"/>
                <w:color w:val="000000" w:themeColor="text1"/>
                <w:sz w:val="20"/>
                <w:szCs w:val="20"/>
              </w:rPr>
              <w:t>If applicable:</w:t>
            </w:r>
          </w:p>
          <w:p w14:paraId="0B98C3FD" w14:textId="77777777" w:rsidR="0006624D" w:rsidRPr="001F5B77" w:rsidRDefault="0006624D" w:rsidP="001F5B77">
            <w:pPr>
              <w:pStyle w:val="ListParagraph"/>
            </w:pPr>
            <w:r w:rsidRPr="001F5B77">
              <w:t>SSA-8010: Statement of Income and Resources</w:t>
            </w:r>
          </w:p>
          <w:p w14:paraId="7EA3883D" w14:textId="40562E02" w:rsidR="0006624D" w:rsidRPr="001F5B77" w:rsidRDefault="0006624D" w:rsidP="001F5B77">
            <w:pPr>
              <w:pStyle w:val="ListParagraph"/>
            </w:pPr>
            <w:r w:rsidRPr="001F5B77">
              <w:t>SSA-3375-3379: Child Function Reports (</w:t>
            </w:r>
            <w:r w:rsidR="007B5068" w:rsidRPr="001F5B77">
              <w:t>b</w:t>
            </w:r>
            <w:r w:rsidRPr="001F5B77">
              <w:t>y age group)</w:t>
            </w:r>
          </w:p>
          <w:p w14:paraId="62AE895D" w14:textId="77777777" w:rsidR="0006624D" w:rsidRPr="001F5B77" w:rsidRDefault="0006624D" w:rsidP="001F5B77">
            <w:pPr>
              <w:pStyle w:val="ListParagraph"/>
            </w:pPr>
            <w:r w:rsidRPr="001F5B77">
              <w:t>SSA-5665: Teacher Questionnaire</w:t>
            </w:r>
          </w:p>
          <w:p w14:paraId="5CD8A2B4" w14:textId="77777777" w:rsidR="0006624D" w:rsidRPr="000B039A" w:rsidRDefault="0006624D" w:rsidP="001F5B77">
            <w:pPr>
              <w:pStyle w:val="ListParagraph"/>
              <w:rPr>
                <w:b/>
              </w:rPr>
            </w:pPr>
            <w:r w:rsidRPr="001F5B77">
              <w:t>SSA-4815: Medical Report on Child with Allegation of HIV Infection</w:t>
            </w:r>
            <w:r w:rsidRPr="000B039A">
              <w:rPr>
                <w:b/>
              </w:rPr>
              <w:t xml:space="preserve"> </w:t>
            </w:r>
          </w:p>
        </w:tc>
      </w:tr>
      <w:tr w:rsidR="0006624D" w14:paraId="56C11F4A" w14:textId="77777777" w:rsidTr="00804A0C">
        <w:trPr>
          <w:trHeight w:val="914"/>
        </w:trPr>
        <w:tc>
          <w:tcPr>
            <w:tcW w:w="5472" w:type="dxa"/>
            <w:tcMar>
              <w:top w:w="75" w:type="dxa"/>
              <w:left w:w="75" w:type="dxa"/>
              <w:bottom w:w="75" w:type="dxa"/>
              <w:right w:w="75" w:type="dxa"/>
            </w:tcMar>
          </w:tcPr>
          <w:p w14:paraId="183F8333" w14:textId="77777777" w:rsidR="0006624D" w:rsidRPr="00DD250C" w:rsidRDefault="0006624D" w:rsidP="000A1FB1">
            <w:pPr>
              <w:pStyle w:val="Heading1"/>
            </w:pPr>
            <w:r w:rsidRPr="00DD250C">
              <w:t>Signing Forms</w:t>
            </w:r>
          </w:p>
          <w:p w14:paraId="5798FB24" w14:textId="4F2D133F" w:rsidR="0006624D" w:rsidRPr="001F5B77" w:rsidRDefault="0006624D" w:rsidP="001F5B77">
            <w:pPr>
              <w:pStyle w:val="ListParagraph"/>
            </w:pPr>
            <w:r w:rsidRPr="001F5B77">
              <w:t xml:space="preserve">The applicant signs all forms on their </w:t>
            </w:r>
            <w:r w:rsidR="007B5068" w:rsidRPr="001F5B77">
              <w:t xml:space="preserve">own </w:t>
            </w:r>
            <w:r w:rsidRPr="001F5B77">
              <w:t>behalf</w:t>
            </w:r>
          </w:p>
        </w:tc>
        <w:tc>
          <w:tcPr>
            <w:tcW w:w="5472" w:type="dxa"/>
            <w:tcMar>
              <w:top w:w="75" w:type="dxa"/>
              <w:left w:w="75" w:type="dxa"/>
              <w:bottom w:w="75" w:type="dxa"/>
              <w:right w:w="75" w:type="dxa"/>
            </w:tcMar>
          </w:tcPr>
          <w:p w14:paraId="22E77616" w14:textId="77777777" w:rsidR="0006624D" w:rsidRPr="00DD250C" w:rsidRDefault="0006624D" w:rsidP="000A1FB1">
            <w:pPr>
              <w:pStyle w:val="Heading1"/>
            </w:pPr>
            <w:r w:rsidRPr="00DD250C">
              <w:t>Signing Forms</w:t>
            </w:r>
          </w:p>
          <w:p w14:paraId="27006F78" w14:textId="623E24C4" w:rsidR="0006624D" w:rsidRPr="000A1FB1" w:rsidRDefault="0006624D" w:rsidP="000A1FB1">
            <w:pPr>
              <w:pStyle w:val="ListParagraph"/>
            </w:pPr>
            <w:r w:rsidRPr="001F5B77">
              <w:t>The parent or caregiver, with some exceptions</w:t>
            </w:r>
            <w:r w:rsidR="0024188B">
              <w:t>*</w:t>
            </w:r>
            <w:r w:rsidRPr="001F5B77">
              <w:t>, signs all SSA forms</w:t>
            </w:r>
          </w:p>
        </w:tc>
      </w:tr>
      <w:tr w:rsidR="0006624D" w14:paraId="5AF456E5" w14:textId="77777777" w:rsidTr="00804A0C">
        <w:trPr>
          <w:trHeight w:val="1643"/>
        </w:trPr>
        <w:tc>
          <w:tcPr>
            <w:tcW w:w="5472" w:type="dxa"/>
            <w:tcMar>
              <w:top w:w="75" w:type="dxa"/>
              <w:left w:w="75" w:type="dxa"/>
              <w:bottom w:w="75" w:type="dxa"/>
              <w:right w:w="75" w:type="dxa"/>
            </w:tcMar>
          </w:tcPr>
          <w:p w14:paraId="49DA4BC6" w14:textId="77777777" w:rsidR="0006624D" w:rsidRPr="00DD250C" w:rsidRDefault="0006624D" w:rsidP="000A1FB1">
            <w:pPr>
              <w:pStyle w:val="Heading1"/>
            </w:pPr>
            <w:r w:rsidRPr="00DD250C">
              <w:t>Documenting Disability</w:t>
            </w:r>
          </w:p>
          <w:p w14:paraId="5699C85D" w14:textId="77777777" w:rsidR="0006624D" w:rsidRPr="001F5B77" w:rsidRDefault="0006624D" w:rsidP="001F5B77">
            <w:pPr>
              <w:pStyle w:val="ListParagraph"/>
            </w:pPr>
            <w:r w:rsidRPr="001F5B77">
              <w:t>Evidence from an “Acceptable Medical Source”</w:t>
            </w:r>
          </w:p>
          <w:p w14:paraId="64A88507" w14:textId="77777777" w:rsidR="0006624D" w:rsidRPr="000B039A" w:rsidRDefault="0006624D" w:rsidP="001F5B77">
            <w:pPr>
              <w:pStyle w:val="ListParagraph"/>
            </w:pPr>
            <w:r w:rsidRPr="001F5B77">
              <w:t>Other sources of information will be obtained from the applicant’s family, friends, case manager(s), substance abuse treatment centers, current or former employers, and jails/prison.</w:t>
            </w:r>
            <w:r w:rsidRPr="000B039A">
              <w:t xml:space="preserve"> </w:t>
            </w:r>
          </w:p>
        </w:tc>
        <w:tc>
          <w:tcPr>
            <w:tcW w:w="5472" w:type="dxa"/>
            <w:tcMar>
              <w:top w:w="75" w:type="dxa"/>
              <w:left w:w="75" w:type="dxa"/>
              <w:bottom w:w="75" w:type="dxa"/>
              <w:right w:w="75" w:type="dxa"/>
            </w:tcMar>
          </w:tcPr>
          <w:p w14:paraId="3004574E" w14:textId="77777777" w:rsidR="0006624D" w:rsidRPr="00DD250C" w:rsidRDefault="0006624D" w:rsidP="000A1FB1">
            <w:pPr>
              <w:pStyle w:val="Heading1"/>
            </w:pPr>
            <w:r w:rsidRPr="00DD250C">
              <w:t>Documenting Disability</w:t>
            </w:r>
          </w:p>
          <w:p w14:paraId="3196052F" w14:textId="77777777" w:rsidR="0006624D" w:rsidRPr="001F5B77" w:rsidRDefault="0006624D" w:rsidP="001F5B77">
            <w:pPr>
              <w:pStyle w:val="ListParagraph"/>
            </w:pPr>
            <w:r w:rsidRPr="001F5B77">
              <w:t>Evidence from an “Acceptable Medical Source”</w:t>
            </w:r>
          </w:p>
          <w:p w14:paraId="6351983D" w14:textId="77777777" w:rsidR="0006624D" w:rsidRPr="001F5B77" w:rsidRDefault="0006624D" w:rsidP="001F5B77">
            <w:pPr>
              <w:pStyle w:val="ListParagraph"/>
            </w:pPr>
            <w:r w:rsidRPr="001F5B77">
              <w:t>School records</w:t>
            </w:r>
          </w:p>
          <w:p w14:paraId="4C4A56E4" w14:textId="77777777" w:rsidR="0006624D" w:rsidRPr="000B039A" w:rsidRDefault="0006624D" w:rsidP="001F5B77">
            <w:pPr>
              <w:pStyle w:val="ListParagraph"/>
              <w:rPr>
                <w:b/>
              </w:rPr>
            </w:pPr>
            <w:r w:rsidRPr="001F5B77">
              <w:t>Other sources of information will be obtained from: babysitters, teachers, school social workers/counselors, juvenile detention centers, coaches, etc.</w:t>
            </w:r>
          </w:p>
        </w:tc>
      </w:tr>
      <w:tr w:rsidR="0006624D" w14:paraId="722F9858" w14:textId="77777777" w:rsidTr="00804A0C">
        <w:trPr>
          <w:trHeight w:val="2804"/>
        </w:trPr>
        <w:tc>
          <w:tcPr>
            <w:tcW w:w="5472" w:type="dxa"/>
            <w:tcMar>
              <w:top w:w="75" w:type="dxa"/>
              <w:left w:w="75" w:type="dxa"/>
              <w:bottom w:w="75" w:type="dxa"/>
              <w:right w:w="75" w:type="dxa"/>
            </w:tcMar>
          </w:tcPr>
          <w:p w14:paraId="6AB688DF" w14:textId="77777777" w:rsidR="0006624D" w:rsidRPr="000A1FB1" w:rsidRDefault="0006624D" w:rsidP="000A1FB1">
            <w:pPr>
              <w:pStyle w:val="Heading1"/>
            </w:pPr>
            <w:r w:rsidRPr="000A1FB1">
              <w:t>Representative Payee</w:t>
            </w:r>
          </w:p>
          <w:p w14:paraId="77ADD29D" w14:textId="5A43FBCE" w:rsidR="0006624D" w:rsidRPr="001F5B77" w:rsidRDefault="0006624D" w:rsidP="001F5B77">
            <w:pPr>
              <w:pStyle w:val="ListParagraph"/>
            </w:pPr>
            <w:r w:rsidRPr="001F5B77">
              <w:t xml:space="preserve">Representative </w:t>
            </w:r>
            <w:r w:rsidR="000A1FB1">
              <w:t>p</w:t>
            </w:r>
            <w:r w:rsidRPr="001F5B77">
              <w:t xml:space="preserve">ayees are identified by the recipient of benefits and appointed by SSA to help the recipient manage their funds if SSA determines they are unable to do so </w:t>
            </w:r>
          </w:p>
          <w:p w14:paraId="6275B7AF" w14:textId="77777777" w:rsidR="0006624D" w:rsidRPr="000B039A" w:rsidRDefault="0006624D" w:rsidP="001F5B77">
            <w:pPr>
              <w:pStyle w:val="ListParagraph"/>
              <w:rPr>
                <w:b/>
              </w:rPr>
            </w:pPr>
            <w:r w:rsidRPr="001F5B77">
              <w:t>Adult recipients may handle their own funds when SSA determines they are not required to have a Representative Payee</w:t>
            </w:r>
          </w:p>
        </w:tc>
        <w:tc>
          <w:tcPr>
            <w:tcW w:w="5472" w:type="dxa"/>
            <w:tcMar>
              <w:top w:w="75" w:type="dxa"/>
              <w:left w:w="75" w:type="dxa"/>
              <w:bottom w:w="75" w:type="dxa"/>
              <w:right w:w="75" w:type="dxa"/>
            </w:tcMar>
          </w:tcPr>
          <w:p w14:paraId="5914AF15" w14:textId="77777777" w:rsidR="0006624D" w:rsidRPr="00DD250C" w:rsidRDefault="0006624D" w:rsidP="000A1FB1">
            <w:pPr>
              <w:pStyle w:val="Heading1"/>
            </w:pPr>
            <w:r w:rsidRPr="00DD250C">
              <w:t>Representative Payee</w:t>
            </w:r>
          </w:p>
          <w:p w14:paraId="098D91CC" w14:textId="22D7E1D2" w:rsidR="0006624D" w:rsidRPr="000B039A" w:rsidRDefault="0006624D" w:rsidP="001F5B77">
            <w:pPr>
              <w:pStyle w:val="ListParagraph"/>
            </w:pPr>
            <w:r w:rsidRPr="000B039A">
              <w:t>In most cases</w:t>
            </w:r>
            <w:r w:rsidR="0024188B">
              <w:t>*</w:t>
            </w:r>
            <w:r w:rsidRPr="000B039A">
              <w:t xml:space="preserve">, the parent or caregiver will be </w:t>
            </w:r>
            <w:r w:rsidR="009414B1">
              <w:t xml:space="preserve">the </w:t>
            </w:r>
            <w:r w:rsidRPr="000B039A">
              <w:t xml:space="preserve">appointed representative payee for the child.  </w:t>
            </w:r>
          </w:p>
          <w:p w14:paraId="171EF86F" w14:textId="591930A4" w:rsidR="0006624D" w:rsidRPr="001F5B77" w:rsidRDefault="0006624D" w:rsidP="001F5B77">
            <w:pPr>
              <w:pStyle w:val="ListParagraph"/>
            </w:pPr>
            <w:r w:rsidRPr="001F5B77">
              <w:t>Natural or adoptive parents and legal guardians of a minor child beneficiary who primarily reside in the same household as the child do not have to complete an annual Representative Payee Report</w:t>
            </w:r>
          </w:p>
          <w:p w14:paraId="1A2D6C14" w14:textId="73BDEE31" w:rsidR="0006624D" w:rsidRPr="000B039A" w:rsidRDefault="0006624D" w:rsidP="001F5B77">
            <w:pPr>
              <w:pStyle w:val="ListParagraph"/>
            </w:pPr>
            <w:r w:rsidRPr="000B039A">
              <w:t>Representative payees for children must seek treatment for the child’s medical condition when it</w:t>
            </w:r>
            <w:r w:rsidR="009414B1">
              <w:t xml:space="preserve"> is</w:t>
            </w:r>
            <w:r w:rsidRPr="000B039A">
              <w:t xml:space="preserve"> necessary</w:t>
            </w:r>
          </w:p>
          <w:p w14:paraId="5B98061E" w14:textId="77777777" w:rsidR="0006624D" w:rsidRPr="000B039A" w:rsidRDefault="0006624D" w:rsidP="001F5B77">
            <w:pPr>
              <w:pStyle w:val="ListParagraph"/>
            </w:pPr>
            <w:r w:rsidRPr="000B039A">
              <w:t>Payees are required to put large retroactive amounts received by a disabled child in a dedicated account</w:t>
            </w:r>
          </w:p>
        </w:tc>
      </w:tr>
    </w:tbl>
    <w:p w14:paraId="26F453F1" w14:textId="613AC4A6" w:rsidR="0006624D" w:rsidRPr="0024188B" w:rsidRDefault="0024188B" w:rsidP="00804A0C">
      <w:pPr>
        <w:ind w:left="-180" w:hanging="90"/>
        <w:rPr>
          <w:sz w:val="20"/>
          <w:szCs w:val="20"/>
        </w:rPr>
      </w:pPr>
      <w:r w:rsidRPr="0024188B">
        <w:rPr>
          <w:sz w:val="20"/>
          <w:szCs w:val="20"/>
        </w:rPr>
        <w:t>*Exceptions: youth who are pregnant, head of household, emancipated child, and some children who are living on their own and not receiving support from a parent or caregiver</w:t>
      </w:r>
    </w:p>
    <w:sectPr w:rsidR="0006624D" w:rsidRPr="0024188B" w:rsidSect="0024188B">
      <w:headerReference w:type="default" r:id="rId7"/>
      <w:footerReference w:type="default" r:id="rId8"/>
      <w:pgSz w:w="12240" w:h="15840"/>
      <w:pgMar w:top="864" w:right="864" w:bottom="864" w:left="864"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82DB" w14:textId="77777777" w:rsidR="00A46BD5" w:rsidRDefault="00A46BD5" w:rsidP="000D67CA">
      <w:r>
        <w:separator/>
      </w:r>
    </w:p>
  </w:endnote>
  <w:endnote w:type="continuationSeparator" w:id="0">
    <w:p w14:paraId="0C133601" w14:textId="77777777" w:rsidR="00A46BD5" w:rsidRDefault="00A46BD5" w:rsidP="000D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4BF6" w14:textId="77777777" w:rsidR="006B1297" w:rsidRPr="00122540" w:rsidRDefault="00122540" w:rsidP="00122540">
    <w:pPr>
      <w:pStyle w:val="Footer"/>
      <w:pBdr>
        <w:top w:val="single" w:sz="4" w:space="1" w:color="2F5496" w:themeColor="accent5" w:themeShade="BF"/>
      </w:pBdr>
      <w:tabs>
        <w:tab w:val="clear" w:pos="4320"/>
        <w:tab w:val="clear" w:pos="8640"/>
        <w:tab w:val="right" w:pos="10080"/>
      </w:tabs>
      <w:ind w:left="-90"/>
      <w:rPr>
        <w:noProof/>
      </w:rPr>
    </w:pPr>
    <w:r>
      <w:rPr>
        <w:noProof/>
      </w:rPr>
      <w:t>SSI/SSDI Outreach, Access and Recovery (SOAR) Technical Assistance Center</w:t>
    </w:r>
    <w:r>
      <w:rPr>
        <w:noProof/>
      </w:rPr>
      <w:tab/>
    </w:r>
    <w:r w:rsidR="00DD250C">
      <w:rPr>
        <w:noProof/>
      </w:rPr>
      <w:t>December 14,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369D2" w14:textId="77777777" w:rsidR="00A46BD5" w:rsidRDefault="00A46BD5" w:rsidP="000D67CA">
      <w:r>
        <w:separator/>
      </w:r>
    </w:p>
  </w:footnote>
  <w:footnote w:type="continuationSeparator" w:id="0">
    <w:p w14:paraId="0AA808E6" w14:textId="77777777" w:rsidR="00A46BD5" w:rsidRDefault="00A46BD5" w:rsidP="000D67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39C4C" w14:textId="77777777" w:rsidR="006B1297" w:rsidRDefault="006B1297" w:rsidP="00145C20">
    <w:pPr>
      <w:tabs>
        <w:tab w:val="right" w:pos="10080"/>
      </w:tabs>
      <w:spacing w:after="360"/>
    </w:pPr>
    <w:r w:rsidRPr="00C8539D">
      <w:rPr>
        <w:noProof/>
      </w:rPr>
      <w:drawing>
        <wp:anchor distT="0" distB="0" distL="114300" distR="114300" simplePos="0" relativeHeight="251659264" behindDoc="1" locked="0" layoutInCell="1" allowOverlap="1" wp14:anchorId="70E9484F" wp14:editId="1D1BEAA8">
          <wp:simplePos x="0" y="0"/>
          <wp:positionH relativeFrom="column">
            <wp:posOffset>0</wp:posOffset>
          </wp:positionH>
          <wp:positionV relativeFrom="paragraph">
            <wp:posOffset>22860</wp:posOffset>
          </wp:positionV>
          <wp:extent cx="2004060" cy="596900"/>
          <wp:effectExtent l="0" t="0" r="0" b="0"/>
          <wp:wrapNone/>
          <wp:docPr id="5" name="Picture 5"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254225">
      <w:rPr>
        <w:noProof/>
      </w:rPr>
      <w:drawing>
        <wp:inline distT="0" distB="0" distL="0" distR="0" wp14:anchorId="3A118F46" wp14:editId="4EB234C4">
          <wp:extent cx="12477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1910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469C"/>
    <w:multiLevelType w:val="hybridMultilevel"/>
    <w:tmpl w:val="46E29A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F48AB"/>
    <w:multiLevelType w:val="hybridMultilevel"/>
    <w:tmpl w:val="000877F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00F03"/>
    <w:multiLevelType w:val="hybridMultilevel"/>
    <w:tmpl w:val="5282CC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367BF"/>
    <w:multiLevelType w:val="hybridMultilevel"/>
    <w:tmpl w:val="B5785C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31392"/>
    <w:multiLevelType w:val="hybridMultilevel"/>
    <w:tmpl w:val="E15AC3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F1BDE"/>
    <w:multiLevelType w:val="hybridMultilevel"/>
    <w:tmpl w:val="90D0FE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F11B0"/>
    <w:multiLevelType w:val="hybridMultilevel"/>
    <w:tmpl w:val="A1689D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9D3D3E"/>
    <w:multiLevelType w:val="hybridMultilevel"/>
    <w:tmpl w:val="8B00FE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25587"/>
    <w:multiLevelType w:val="hybridMultilevel"/>
    <w:tmpl w:val="394C73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7B0CD9"/>
    <w:multiLevelType w:val="hybridMultilevel"/>
    <w:tmpl w:val="FE7A50EC"/>
    <w:lvl w:ilvl="0" w:tplc="04090005">
      <w:start w:val="1"/>
      <w:numFmt w:val="bullet"/>
      <w:lvlText w:val=""/>
      <w:lvlJc w:val="left"/>
      <w:pPr>
        <w:ind w:left="720" w:hanging="360"/>
      </w:pPr>
      <w:rPr>
        <w:rFonts w:ascii="Wingdings" w:hAnsi="Wingdings" w:hint="default"/>
        <w:color w:val="auto"/>
      </w:rPr>
    </w:lvl>
    <w:lvl w:ilvl="1" w:tplc="A018610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540E58"/>
    <w:multiLevelType w:val="hybridMultilevel"/>
    <w:tmpl w:val="FA9A6A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FE016F"/>
    <w:multiLevelType w:val="hybridMultilevel"/>
    <w:tmpl w:val="551A3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7421E1"/>
    <w:multiLevelType w:val="hybridMultilevel"/>
    <w:tmpl w:val="6D00F1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7045AC"/>
    <w:multiLevelType w:val="hybridMultilevel"/>
    <w:tmpl w:val="55F4F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975A8A"/>
    <w:multiLevelType w:val="hybridMultilevel"/>
    <w:tmpl w:val="58BA4A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542B7E"/>
    <w:multiLevelType w:val="hybridMultilevel"/>
    <w:tmpl w:val="9632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6782C"/>
    <w:multiLevelType w:val="hybridMultilevel"/>
    <w:tmpl w:val="165E85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976941"/>
    <w:multiLevelType w:val="hybridMultilevel"/>
    <w:tmpl w:val="8D349324"/>
    <w:lvl w:ilvl="0" w:tplc="51E65330">
      <w:start w:val="1"/>
      <w:numFmt w:val="bullet"/>
      <w:pStyle w:val="ListParagraph"/>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A446F2"/>
    <w:multiLevelType w:val="hybridMultilevel"/>
    <w:tmpl w:val="0CCEBB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EA601B"/>
    <w:multiLevelType w:val="hybridMultilevel"/>
    <w:tmpl w:val="8AA0A3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9444AB"/>
    <w:multiLevelType w:val="hybridMultilevel"/>
    <w:tmpl w:val="300EEE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C32BA3"/>
    <w:multiLevelType w:val="hybridMultilevel"/>
    <w:tmpl w:val="DA7A088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1803DB"/>
    <w:multiLevelType w:val="hybridMultilevel"/>
    <w:tmpl w:val="4EEAC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46630A"/>
    <w:multiLevelType w:val="hybridMultilevel"/>
    <w:tmpl w:val="7A5C90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55A76D5"/>
    <w:multiLevelType w:val="hybridMultilevel"/>
    <w:tmpl w:val="5AAE5E4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4F795F"/>
    <w:multiLevelType w:val="hybridMultilevel"/>
    <w:tmpl w:val="FE98A6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C57258"/>
    <w:multiLevelType w:val="hybridMultilevel"/>
    <w:tmpl w:val="CD583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D21DE"/>
    <w:multiLevelType w:val="hybridMultilevel"/>
    <w:tmpl w:val="4896105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982431"/>
    <w:multiLevelType w:val="hybridMultilevel"/>
    <w:tmpl w:val="843A3AF6"/>
    <w:lvl w:ilvl="0" w:tplc="4616429A">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1A139B"/>
    <w:multiLevelType w:val="hybridMultilevel"/>
    <w:tmpl w:val="AC48BB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990B41"/>
    <w:multiLevelType w:val="hybridMultilevel"/>
    <w:tmpl w:val="6AB29106"/>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1A4D2C"/>
    <w:multiLevelType w:val="hybridMultilevel"/>
    <w:tmpl w:val="C074B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26"/>
  </w:num>
  <w:num w:numId="4">
    <w:abstractNumId w:val="15"/>
  </w:num>
  <w:num w:numId="5">
    <w:abstractNumId w:val="13"/>
  </w:num>
  <w:num w:numId="6">
    <w:abstractNumId w:val="27"/>
  </w:num>
  <w:num w:numId="7">
    <w:abstractNumId w:val="30"/>
  </w:num>
  <w:num w:numId="8">
    <w:abstractNumId w:val="21"/>
  </w:num>
  <w:num w:numId="9">
    <w:abstractNumId w:val="11"/>
  </w:num>
  <w:num w:numId="10">
    <w:abstractNumId w:val="8"/>
  </w:num>
  <w:num w:numId="11">
    <w:abstractNumId w:val="1"/>
  </w:num>
  <w:num w:numId="12">
    <w:abstractNumId w:val="24"/>
  </w:num>
  <w:num w:numId="13">
    <w:abstractNumId w:val="9"/>
  </w:num>
  <w:num w:numId="14">
    <w:abstractNumId w:val="10"/>
  </w:num>
  <w:num w:numId="15">
    <w:abstractNumId w:val="17"/>
  </w:num>
  <w:num w:numId="16">
    <w:abstractNumId w:val="16"/>
  </w:num>
  <w:num w:numId="17">
    <w:abstractNumId w:val="22"/>
  </w:num>
  <w:num w:numId="18">
    <w:abstractNumId w:val="23"/>
  </w:num>
  <w:num w:numId="19">
    <w:abstractNumId w:val="18"/>
  </w:num>
  <w:num w:numId="20">
    <w:abstractNumId w:val="3"/>
  </w:num>
  <w:num w:numId="21">
    <w:abstractNumId w:val="25"/>
  </w:num>
  <w:num w:numId="22">
    <w:abstractNumId w:val="2"/>
  </w:num>
  <w:num w:numId="23">
    <w:abstractNumId w:val="12"/>
  </w:num>
  <w:num w:numId="24">
    <w:abstractNumId w:val="14"/>
  </w:num>
  <w:num w:numId="25">
    <w:abstractNumId w:val="31"/>
  </w:num>
  <w:num w:numId="26">
    <w:abstractNumId w:val="20"/>
  </w:num>
  <w:num w:numId="27">
    <w:abstractNumId w:val="5"/>
  </w:num>
  <w:num w:numId="28">
    <w:abstractNumId w:val="6"/>
  </w:num>
  <w:num w:numId="29">
    <w:abstractNumId w:val="19"/>
  </w:num>
  <w:num w:numId="30">
    <w:abstractNumId w:val="7"/>
  </w:num>
  <w:num w:numId="31">
    <w:abstractNumId w:val="2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20"/>
    <w:rsid w:val="00044BC4"/>
    <w:rsid w:val="0006624D"/>
    <w:rsid w:val="000A1FB1"/>
    <w:rsid w:val="000D67CA"/>
    <w:rsid w:val="000E7E20"/>
    <w:rsid w:val="00105F07"/>
    <w:rsid w:val="00122540"/>
    <w:rsid w:val="00127D23"/>
    <w:rsid w:val="0014097F"/>
    <w:rsid w:val="00145C20"/>
    <w:rsid w:val="001F5B77"/>
    <w:rsid w:val="0024188B"/>
    <w:rsid w:val="00254225"/>
    <w:rsid w:val="002E23CC"/>
    <w:rsid w:val="00347BC8"/>
    <w:rsid w:val="0035005F"/>
    <w:rsid w:val="00383DE4"/>
    <w:rsid w:val="0041219C"/>
    <w:rsid w:val="00414C1F"/>
    <w:rsid w:val="00466835"/>
    <w:rsid w:val="00490DF7"/>
    <w:rsid w:val="00520604"/>
    <w:rsid w:val="00575EF3"/>
    <w:rsid w:val="005A29B5"/>
    <w:rsid w:val="0069091C"/>
    <w:rsid w:val="006B1297"/>
    <w:rsid w:val="007075D0"/>
    <w:rsid w:val="00722E90"/>
    <w:rsid w:val="007B5068"/>
    <w:rsid w:val="007B7D3F"/>
    <w:rsid w:val="007C4789"/>
    <w:rsid w:val="007F2948"/>
    <w:rsid w:val="007F46D7"/>
    <w:rsid w:val="00804A0C"/>
    <w:rsid w:val="00850894"/>
    <w:rsid w:val="00893B7C"/>
    <w:rsid w:val="0091380F"/>
    <w:rsid w:val="0091540B"/>
    <w:rsid w:val="009414B1"/>
    <w:rsid w:val="00946E9A"/>
    <w:rsid w:val="00996C7D"/>
    <w:rsid w:val="009D6E15"/>
    <w:rsid w:val="009F581C"/>
    <w:rsid w:val="00A46BD5"/>
    <w:rsid w:val="00A51F69"/>
    <w:rsid w:val="00A94F65"/>
    <w:rsid w:val="00AB38F2"/>
    <w:rsid w:val="00AF5C28"/>
    <w:rsid w:val="00B167DA"/>
    <w:rsid w:val="00B52308"/>
    <w:rsid w:val="00C622BF"/>
    <w:rsid w:val="00C75ACB"/>
    <w:rsid w:val="00CE15FB"/>
    <w:rsid w:val="00D61420"/>
    <w:rsid w:val="00D775DA"/>
    <w:rsid w:val="00DB2297"/>
    <w:rsid w:val="00DD250C"/>
    <w:rsid w:val="00E07977"/>
    <w:rsid w:val="00E159F7"/>
    <w:rsid w:val="00E605DF"/>
    <w:rsid w:val="00FA393C"/>
    <w:rsid w:val="00FE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0176D"/>
  <w15:chartTrackingRefBased/>
  <w15:docId w15:val="{F919C393-3F46-4788-B275-2B54B08C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E15"/>
    <w:rPr>
      <w:rFonts w:asciiTheme="minorHAnsi" w:hAnsiTheme="minorHAnsi"/>
      <w:sz w:val="24"/>
      <w:szCs w:val="24"/>
    </w:rPr>
  </w:style>
  <w:style w:type="paragraph" w:styleId="Heading1">
    <w:name w:val="heading 1"/>
    <w:basedOn w:val="Normal"/>
    <w:next w:val="Normal"/>
    <w:link w:val="Heading1Char"/>
    <w:uiPriority w:val="9"/>
    <w:qFormat/>
    <w:rsid w:val="000A1FB1"/>
    <w:pPr>
      <w:spacing w:after="40"/>
      <w:contextualSpacing/>
      <w:outlineLvl w:val="0"/>
    </w:pPr>
    <w:rPr>
      <w:rFonts w:asciiTheme="majorHAnsi" w:hAnsiTheme="majorHAnsi" w:cs="Arial"/>
      <w:bCs/>
      <w:color w:val="2E74B5" w:themeColor="accent1" w:themeShade="BF"/>
      <w:sz w:val="22"/>
      <w:szCs w:val="21"/>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1F5B77"/>
    <w:pPr>
      <w:numPr>
        <w:numId w:val="15"/>
      </w:numPr>
      <w:ind w:left="187" w:hanging="187"/>
      <w:contextualSpacing/>
    </w:pPr>
    <w:rPr>
      <w:rFonts w:cs="Arial"/>
      <w:color w:val="000000" w:themeColor="text1"/>
      <w:sz w:val="20"/>
      <w:szCs w:val="20"/>
    </w:r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A1FB1"/>
    <w:rPr>
      <w:rFonts w:asciiTheme="majorHAnsi" w:hAnsiTheme="majorHAnsi" w:cs="Arial"/>
      <w:bCs/>
      <w:color w:val="2E74B5" w:themeColor="accent1" w:themeShade="BF"/>
      <w:sz w:val="22"/>
      <w:szCs w:val="21"/>
    </w:rPr>
  </w:style>
  <w:style w:type="paragraph" w:styleId="NoSpacing">
    <w:name w:val="No Spacing"/>
    <w:uiPriority w:val="1"/>
    <w:qFormat/>
    <w:rsid w:val="00044BC4"/>
    <w:rPr>
      <w:rFonts w:ascii="Calibri" w:eastAsia="Calibri" w:hAnsi="Calibri"/>
      <w:sz w:val="22"/>
      <w:szCs w:val="22"/>
    </w:rPr>
  </w:style>
  <w:style w:type="paragraph" w:styleId="NormalWeb">
    <w:name w:val="Normal (Web)"/>
    <w:basedOn w:val="Normal"/>
    <w:uiPriority w:val="99"/>
    <w:semiHidden/>
    <w:unhideWhenUsed/>
    <w:rsid w:val="0006624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1019</Words>
  <Characters>5812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6818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Sodergren</dc:creator>
  <cp:keywords/>
  <dc:description/>
  <cp:lastModifiedBy>Kristin Lupfer</cp:lastModifiedBy>
  <cp:revision>2</cp:revision>
  <dcterms:created xsi:type="dcterms:W3CDTF">2018-12-14T20:43:00Z</dcterms:created>
  <dcterms:modified xsi:type="dcterms:W3CDTF">2018-12-14T20:43:00Z</dcterms:modified>
</cp:coreProperties>
</file>